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A89A" w14:textId="77777777" w:rsidR="00515C53" w:rsidRDefault="00D35891">
      <w:pPr>
        <w:spacing w:after="0" w:line="240" w:lineRule="auto"/>
        <w:jc w:val="center"/>
        <w:rPr>
          <w:rFonts w:ascii="Arial" w:eastAsia="Arial" w:hAnsi="Arial" w:cs="Arial"/>
          <w:b/>
          <w:sz w:val="36"/>
          <w:szCs w:val="36"/>
          <w:u w:val="single"/>
        </w:rPr>
      </w:pPr>
      <w:bookmarkStart w:id="0" w:name="_heading=h.gjdgxs" w:colFirst="0" w:colLast="0"/>
      <w:bookmarkEnd w:id="0"/>
      <w:r>
        <w:rPr>
          <w:rFonts w:ascii="Arial" w:eastAsia="Arial" w:hAnsi="Arial" w:cs="Arial"/>
          <w:b/>
          <w:sz w:val="36"/>
          <w:szCs w:val="36"/>
          <w:u w:val="single"/>
        </w:rPr>
        <w:t>Alteplase Dosing and Administration Reference</w:t>
      </w:r>
    </w:p>
    <w:p w14:paraId="77831DA5" w14:textId="77777777" w:rsidR="00515C53" w:rsidRDefault="00515C53">
      <w:pPr>
        <w:spacing w:after="0" w:line="240" w:lineRule="auto"/>
        <w:jc w:val="center"/>
        <w:rPr>
          <w:rFonts w:ascii="Arial" w:eastAsia="Arial" w:hAnsi="Arial" w:cs="Arial"/>
          <w:b/>
          <w:sz w:val="16"/>
          <w:szCs w:val="16"/>
          <w:u w:val="single"/>
        </w:rPr>
      </w:pPr>
      <w:bookmarkStart w:id="1" w:name="_heading=h.b4zdzat48d5h" w:colFirst="0" w:colLast="0"/>
      <w:bookmarkEnd w:id="1"/>
    </w:p>
    <w:p w14:paraId="7C152CF6" w14:textId="77777777" w:rsidR="00515C53" w:rsidRDefault="00D35891">
      <w:pPr>
        <w:numPr>
          <w:ilvl w:val="0"/>
          <w:numId w:val="3"/>
        </w:numPr>
        <w:spacing w:after="0" w:line="240" w:lineRule="auto"/>
        <w:rPr>
          <w:rFonts w:ascii="Arial" w:eastAsia="Arial" w:hAnsi="Arial" w:cs="Arial"/>
          <w:b/>
        </w:rPr>
      </w:pPr>
      <w:r>
        <w:rPr>
          <w:rFonts w:ascii="Arial" w:eastAsia="Arial" w:hAnsi="Arial" w:cs="Arial"/>
        </w:rPr>
        <w:t>Obtain accurate patient weight in kilograms</w:t>
      </w:r>
      <w:r>
        <w:rPr>
          <w:rFonts w:ascii="Arial" w:eastAsia="Arial" w:hAnsi="Arial" w:cs="Arial"/>
        </w:rPr>
        <w:tab/>
        <w:t>________kg</w:t>
      </w:r>
    </w:p>
    <w:p w14:paraId="536ADA78" w14:textId="77777777" w:rsidR="00515C53" w:rsidRDefault="00515C53">
      <w:pPr>
        <w:spacing w:after="0" w:line="240" w:lineRule="auto"/>
        <w:ind w:left="720"/>
        <w:rPr>
          <w:rFonts w:ascii="Arial" w:eastAsia="Arial" w:hAnsi="Arial" w:cs="Arial"/>
          <w:b/>
          <w:sz w:val="10"/>
          <w:szCs w:val="10"/>
        </w:rPr>
      </w:pPr>
    </w:p>
    <w:p w14:paraId="454C063C" w14:textId="026A58D0" w:rsidR="00515C53" w:rsidRDefault="00D35891">
      <w:pPr>
        <w:numPr>
          <w:ilvl w:val="0"/>
          <w:numId w:val="3"/>
        </w:numPr>
        <w:spacing w:after="0" w:line="240" w:lineRule="auto"/>
        <w:rPr>
          <w:rFonts w:ascii="Arial" w:eastAsia="Arial" w:hAnsi="Arial" w:cs="Arial"/>
          <w:b/>
        </w:rPr>
      </w:pPr>
      <w:r>
        <w:rPr>
          <w:rFonts w:ascii="Arial" w:eastAsia="Arial" w:hAnsi="Arial" w:cs="Arial"/>
        </w:rPr>
        <w:t xml:space="preserve">Calculate Total Alteplase dose </w:t>
      </w:r>
      <w:r>
        <w:rPr>
          <w:rFonts w:ascii="Arial" w:eastAsia="Arial" w:hAnsi="Arial" w:cs="Arial"/>
          <w:b/>
        </w:rPr>
        <w:t>(Max dose for ANY patient is 90 mg)</w:t>
      </w:r>
    </w:p>
    <w:p w14:paraId="10980112" w14:textId="77777777" w:rsidR="00515C53" w:rsidRDefault="00D35891">
      <w:pPr>
        <w:spacing w:after="0" w:line="240" w:lineRule="auto"/>
        <w:ind w:left="1440"/>
        <w:rPr>
          <w:rFonts w:ascii="Arial" w:eastAsia="Arial" w:hAnsi="Arial" w:cs="Arial"/>
          <w:b/>
        </w:rPr>
      </w:pPr>
      <w:r>
        <w:rPr>
          <w:rFonts w:ascii="Arial" w:eastAsia="Arial" w:hAnsi="Arial" w:cs="Arial"/>
        </w:rPr>
        <w:t>Total dose calculation:</w:t>
      </w:r>
    </w:p>
    <w:p w14:paraId="326DB7C7" w14:textId="0C3C3B92" w:rsidR="00515C53" w:rsidRDefault="00D35891">
      <w:pPr>
        <w:spacing w:after="0" w:line="240" w:lineRule="auto"/>
        <w:ind w:left="1440"/>
        <w:rPr>
          <w:rFonts w:ascii="Arial" w:eastAsia="Arial" w:hAnsi="Arial" w:cs="Arial"/>
          <w:b/>
        </w:rPr>
      </w:pPr>
      <w:r>
        <w:rPr>
          <w:rFonts w:ascii="Arial" w:eastAsia="Arial" w:hAnsi="Arial" w:cs="Arial"/>
          <w:b/>
        </w:rPr>
        <w:t xml:space="preserve"> 0.9 mg   X   ________kg (weight) =   ________ mg (total dose)</w:t>
      </w:r>
    </w:p>
    <w:p w14:paraId="36301586" w14:textId="77777777" w:rsidR="00515C53" w:rsidRDefault="00515C53">
      <w:pPr>
        <w:spacing w:after="0" w:line="240" w:lineRule="auto"/>
        <w:ind w:left="1440"/>
        <w:rPr>
          <w:rFonts w:ascii="Arial" w:eastAsia="Arial" w:hAnsi="Arial" w:cs="Arial"/>
          <w:sz w:val="10"/>
          <w:szCs w:val="10"/>
        </w:rPr>
      </w:pPr>
    </w:p>
    <w:p w14:paraId="6DB6936A" w14:textId="77777777" w:rsidR="00515C53" w:rsidRDefault="00515C53">
      <w:pPr>
        <w:spacing w:after="0" w:line="240" w:lineRule="auto"/>
        <w:ind w:left="2160"/>
        <w:rPr>
          <w:rFonts w:ascii="Arial" w:eastAsia="Arial" w:hAnsi="Arial" w:cs="Arial"/>
          <w:sz w:val="10"/>
          <w:szCs w:val="10"/>
        </w:rPr>
      </w:pPr>
    </w:p>
    <w:p w14:paraId="10422C44" w14:textId="77777777" w:rsidR="00515C53" w:rsidRDefault="00D35891">
      <w:pPr>
        <w:numPr>
          <w:ilvl w:val="0"/>
          <w:numId w:val="2"/>
        </w:numPr>
        <w:spacing w:after="0" w:line="240" w:lineRule="auto"/>
        <w:ind w:left="720"/>
        <w:rPr>
          <w:rFonts w:ascii="Arial" w:eastAsia="Arial" w:hAnsi="Arial" w:cs="Arial"/>
          <w:b/>
        </w:rPr>
      </w:pPr>
      <w:r>
        <w:rPr>
          <w:rFonts w:ascii="Arial" w:eastAsia="Arial" w:hAnsi="Arial" w:cs="Arial"/>
        </w:rPr>
        <w:t>From the total, calculate the bolus dose:  10% of total dose as bolus over 1 minute.</w:t>
      </w:r>
    </w:p>
    <w:p w14:paraId="55A8EFC3" w14:textId="77777777" w:rsidR="00515C53" w:rsidRDefault="00D35891">
      <w:pPr>
        <w:spacing w:after="0" w:line="240" w:lineRule="auto"/>
        <w:ind w:left="1440"/>
        <w:rPr>
          <w:rFonts w:ascii="Arial" w:eastAsia="Arial" w:hAnsi="Arial" w:cs="Arial"/>
        </w:rPr>
      </w:pPr>
      <w:r>
        <w:rPr>
          <w:rFonts w:ascii="Arial" w:eastAsia="Arial" w:hAnsi="Arial" w:cs="Arial"/>
        </w:rPr>
        <w:t>Bolus dose calculation:</w:t>
      </w:r>
    </w:p>
    <w:p w14:paraId="4D02FB7C" w14:textId="79FF462A" w:rsidR="00515C53" w:rsidRDefault="00D35891">
      <w:pPr>
        <w:spacing w:after="0" w:line="240" w:lineRule="auto"/>
        <w:ind w:left="1440"/>
        <w:rPr>
          <w:rFonts w:ascii="Arial" w:eastAsia="Arial" w:hAnsi="Arial" w:cs="Arial"/>
          <w:b/>
        </w:rPr>
      </w:pPr>
      <w:r>
        <w:rPr>
          <w:rFonts w:ascii="Arial" w:eastAsia="Arial" w:hAnsi="Arial" w:cs="Arial"/>
          <w:b/>
        </w:rPr>
        <w:t>0.10   X   _______ mg (total dose) =   _______ mg (bolus dose)</w:t>
      </w:r>
    </w:p>
    <w:p w14:paraId="06769041" w14:textId="77777777" w:rsidR="00515C53" w:rsidRDefault="00515C53">
      <w:pPr>
        <w:spacing w:after="0" w:line="240" w:lineRule="auto"/>
        <w:ind w:left="1440"/>
        <w:rPr>
          <w:rFonts w:ascii="Arial" w:eastAsia="Arial" w:hAnsi="Arial" w:cs="Arial"/>
          <w:sz w:val="10"/>
          <w:szCs w:val="10"/>
        </w:rPr>
      </w:pPr>
    </w:p>
    <w:p w14:paraId="0D88B6AD" w14:textId="77777777" w:rsidR="00515C53" w:rsidRDefault="00D35891">
      <w:pPr>
        <w:numPr>
          <w:ilvl w:val="0"/>
          <w:numId w:val="3"/>
        </w:numPr>
        <w:spacing w:after="0" w:line="240" w:lineRule="auto"/>
        <w:rPr>
          <w:rFonts w:ascii="Arial" w:eastAsia="Arial" w:hAnsi="Arial" w:cs="Arial"/>
        </w:rPr>
      </w:pPr>
      <w:r>
        <w:rPr>
          <w:rFonts w:ascii="Arial" w:eastAsia="Arial" w:hAnsi="Arial" w:cs="Arial"/>
        </w:rPr>
        <w:t>Calculate the infusion dose: the remaining 90% of total dose over 1 hour, initiated immediately following bolus.</w:t>
      </w:r>
    </w:p>
    <w:p w14:paraId="50D4D301" w14:textId="77777777" w:rsidR="00515C53" w:rsidRDefault="00D35891">
      <w:pPr>
        <w:spacing w:after="0" w:line="240" w:lineRule="auto"/>
        <w:ind w:left="1440"/>
        <w:rPr>
          <w:rFonts w:ascii="Arial" w:eastAsia="Arial" w:hAnsi="Arial" w:cs="Arial"/>
        </w:rPr>
      </w:pPr>
      <w:r>
        <w:rPr>
          <w:rFonts w:ascii="Arial" w:eastAsia="Arial" w:hAnsi="Arial" w:cs="Arial"/>
        </w:rPr>
        <w:t>Infusion dose calculation:</w:t>
      </w:r>
    </w:p>
    <w:p w14:paraId="0FAFA422" w14:textId="5133BEC8" w:rsidR="00515C53" w:rsidRDefault="00D35891">
      <w:pPr>
        <w:spacing w:after="0" w:line="240" w:lineRule="auto"/>
        <w:ind w:left="1440"/>
        <w:rPr>
          <w:rFonts w:ascii="Arial" w:eastAsia="Arial" w:hAnsi="Arial" w:cs="Arial"/>
          <w:b/>
        </w:rPr>
      </w:pPr>
      <w:r>
        <w:rPr>
          <w:rFonts w:ascii="Arial" w:eastAsia="Arial" w:hAnsi="Arial" w:cs="Arial"/>
          <w:b/>
        </w:rPr>
        <w:t>0.90   X   _______ mg (total dose) =   _______ mg (infusion dose)</w:t>
      </w:r>
    </w:p>
    <w:p w14:paraId="60386CDD" w14:textId="492ACC82" w:rsidR="00515C53" w:rsidRDefault="00D35891">
      <w:pPr>
        <w:numPr>
          <w:ilvl w:val="0"/>
          <w:numId w:val="1"/>
        </w:numPr>
        <w:spacing w:after="0" w:line="240" w:lineRule="auto"/>
        <w:ind w:left="720"/>
        <w:rPr>
          <w:rFonts w:ascii="Arial" w:eastAsia="Arial" w:hAnsi="Arial" w:cs="Arial"/>
        </w:rPr>
      </w:pPr>
      <w:r>
        <w:rPr>
          <w:rFonts w:ascii="Arial" w:eastAsia="Arial" w:hAnsi="Arial" w:cs="Arial"/>
        </w:rPr>
        <w:t>Mix the Alteplase per manufacturer’s instructions (See steps below)</w:t>
      </w:r>
    </w:p>
    <w:p w14:paraId="6FB5432F" w14:textId="7D97FD13" w:rsidR="00515C53" w:rsidRDefault="00D35891">
      <w:pPr>
        <w:numPr>
          <w:ilvl w:val="0"/>
          <w:numId w:val="1"/>
        </w:numPr>
        <w:spacing w:after="0" w:line="240" w:lineRule="auto"/>
        <w:ind w:left="720"/>
        <w:rPr>
          <w:rFonts w:ascii="Arial" w:eastAsia="Arial" w:hAnsi="Arial" w:cs="Arial"/>
        </w:rPr>
      </w:pPr>
      <w:r>
        <w:rPr>
          <w:rFonts w:ascii="Arial" w:eastAsia="Arial" w:hAnsi="Arial" w:cs="Arial"/>
        </w:rPr>
        <w:t>After mixing Alteplase (1mg/mL), ensure excess is</w:t>
      </w:r>
      <w:r w:rsidR="00A27041">
        <w:rPr>
          <w:rFonts w:ascii="Arial" w:eastAsia="Arial" w:hAnsi="Arial" w:cs="Arial"/>
        </w:rPr>
        <w:t xml:space="preserve"> </w:t>
      </w:r>
      <w:r>
        <w:rPr>
          <w:rFonts w:ascii="Arial" w:eastAsia="Arial" w:hAnsi="Arial" w:cs="Arial"/>
        </w:rPr>
        <w:t>discarded before administration.</w:t>
      </w:r>
    </w:p>
    <w:p w14:paraId="17DF474E" w14:textId="77777777" w:rsidR="00515C53" w:rsidRDefault="00515C53">
      <w:pPr>
        <w:spacing w:after="0" w:line="240" w:lineRule="auto"/>
        <w:ind w:left="1440"/>
        <w:rPr>
          <w:rFonts w:ascii="Arial" w:eastAsia="Arial" w:hAnsi="Arial" w:cs="Arial"/>
          <w:sz w:val="10"/>
          <w:szCs w:val="10"/>
        </w:rPr>
      </w:pPr>
    </w:p>
    <w:p w14:paraId="6BBF3E18" w14:textId="77777777" w:rsidR="00515C53" w:rsidRDefault="00D35891">
      <w:pPr>
        <w:numPr>
          <w:ilvl w:val="0"/>
          <w:numId w:val="2"/>
        </w:numPr>
        <w:spacing w:after="0" w:line="240" w:lineRule="auto"/>
        <w:ind w:left="720"/>
        <w:rPr>
          <w:rFonts w:ascii="Arial" w:eastAsia="Arial" w:hAnsi="Arial" w:cs="Arial"/>
          <w:b/>
        </w:rPr>
      </w:pPr>
      <w:r>
        <w:rPr>
          <w:rFonts w:ascii="Arial" w:eastAsia="Arial" w:hAnsi="Arial" w:cs="Arial"/>
        </w:rPr>
        <w:t>Second RN should double check calculation and dosing before administration.</w:t>
      </w:r>
    </w:p>
    <w:p w14:paraId="22BE18DB" w14:textId="77777777" w:rsidR="00515C53" w:rsidRDefault="00515C53">
      <w:pPr>
        <w:spacing w:after="0" w:line="240" w:lineRule="auto"/>
        <w:ind w:left="720"/>
        <w:rPr>
          <w:rFonts w:ascii="Arial" w:eastAsia="Arial" w:hAnsi="Arial" w:cs="Arial"/>
          <w:sz w:val="10"/>
          <w:szCs w:val="10"/>
        </w:rPr>
      </w:pPr>
    </w:p>
    <w:p w14:paraId="71CC4007" w14:textId="77777777" w:rsidR="00515C53" w:rsidRDefault="00D35891">
      <w:pPr>
        <w:numPr>
          <w:ilvl w:val="0"/>
          <w:numId w:val="3"/>
        </w:numPr>
        <w:spacing w:after="0" w:line="240" w:lineRule="auto"/>
        <w:rPr>
          <w:rFonts w:ascii="Arial" w:eastAsia="Arial" w:hAnsi="Arial" w:cs="Arial"/>
        </w:rPr>
      </w:pPr>
      <w:r>
        <w:rPr>
          <w:rFonts w:ascii="Arial" w:eastAsia="Arial" w:hAnsi="Arial" w:cs="Arial"/>
        </w:rPr>
        <w:t>When Alteplase infusion is complete, administer 50mL NS at Alteplase infusion rate to ensure all Alteplase is cleared from IV tubing.</w:t>
      </w:r>
    </w:p>
    <w:p w14:paraId="43C14EC5" w14:textId="77777777" w:rsidR="00515C53" w:rsidRDefault="00515C53">
      <w:pPr>
        <w:spacing w:after="0" w:line="240" w:lineRule="auto"/>
        <w:rPr>
          <w:rFonts w:ascii="Arial" w:eastAsia="Arial" w:hAnsi="Arial" w:cs="Arial"/>
          <w:b/>
          <w:sz w:val="36"/>
          <w:szCs w:val="36"/>
        </w:rPr>
      </w:pPr>
      <w:bookmarkStart w:id="2" w:name="_heading=h.gd36z885226y" w:colFirst="0" w:colLast="0"/>
      <w:bookmarkEnd w:id="2"/>
    </w:p>
    <w:p w14:paraId="69F7A9B7" w14:textId="77777777" w:rsidR="00515C53" w:rsidRDefault="00515C53">
      <w:pPr>
        <w:spacing w:after="0" w:line="240" w:lineRule="auto"/>
        <w:rPr>
          <w:rFonts w:ascii="Arial" w:eastAsia="Arial" w:hAnsi="Arial" w:cs="Arial"/>
          <w:b/>
          <w:sz w:val="36"/>
          <w:szCs w:val="36"/>
        </w:rPr>
      </w:pPr>
    </w:p>
    <w:p w14:paraId="5D36BCA0" w14:textId="77777777" w:rsidR="00515C53" w:rsidRDefault="00D35891">
      <w:pPr>
        <w:spacing w:after="0" w:line="240" w:lineRule="auto"/>
        <w:jc w:val="center"/>
        <w:rPr>
          <w:rFonts w:ascii="Arial" w:eastAsia="Arial" w:hAnsi="Arial" w:cs="Arial"/>
          <w:b/>
          <w:sz w:val="36"/>
          <w:szCs w:val="36"/>
          <w:u w:val="single"/>
        </w:rPr>
      </w:pPr>
      <w:r>
        <w:rPr>
          <w:rFonts w:ascii="Arial" w:eastAsia="Arial" w:hAnsi="Arial" w:cs="Arial"/>
          <w:b/>
          <w:sz w:val="36"/>
          <w:szCs w:val="36"/>
          <w:u w:val="single"/>
        </w:rPr>
        <w:t>Alteplase Reconstitution Reference</w:t>
      </w:r>
    </w:p>
    <w:p w14:paraId="17EF3C97" w14:textId="77777777" w:rsidR="00515C53" w:rsidRDefault="00D35891">
      <w:pPr>
        <w:jc w:val="center"/>
        <w:rPr>
          <w:rFonts w:ascii="Arial" w:eastAsia="Arial" w:hAnsi="Arial" w:cs="Arial"/>
          <w:b/>
          <w:sz w:val="24"/>
          <w:szCs w:val="24"/>
        </w:rPr>
      </w:pPr>
      <w:r>
        <w:rPr>
          <w:noProof/>
        </w:rPr>
        <w:drawing>
          <wp:anchor distT="0" distB="0" distL="114300" distR="114300" simplePos="0" relativeHeight="251658240" behindDoc="0" locked="0" layoutInCell="1" hidden="0" allowOverlap="1" wp14:anchorId="3C4DE80B" wp14:editId="13CBB555">
            <wp:simplePos x="0" y="0"/>
            <wp:positionH relativeFrom="column">
              <wp:posOffset>4191000</wp:posOffset>
            </wp:positionH>
            <wp:positionV relativeFrom="paragraph">
              <wp:posOffset>240665</wp:posOffset>
            </wp:positionV>
            <wp:extent cx="2152650" cy="1408430"/>
            <wp:effectExtent l="0" t="0" r="0" b="0"/>
            <wp:wrapSquare wrapText="bothSides" distT="0" distB="0" distL="114300" distR="114300"/>
            <wp:docPr id="8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152650" cy="14084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8F82E5C" wp14:editId="341746E8">
            <wp:simplePos x="0" y="0"/>
            <wp:positionH relativeFrom="column">
              <wp:posOffset>2000250</wp:posOffset>
            </wp:positionH>
            <wp:positionV relativeFrom="paragraph">
              <wp:posOffset>219709</wp:posOffset>
            </wp:positionV>
            <wp:extent cx="2096770" cy="1409700"/>
            <wp:effectExtent l="0" t="0" r="0" b="0"/>
            <wp:wrapSquare wrapText="bothSides" distT="0" distB="0" distL="114300" distR="114300"/>
            <wp:docPr id="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096770" cy="1409700"/>
                    </a:xfrm>
                    <a:prstGeom prst="rect">
                      <a:avLst/>
                    </a:prstGeom>
                    <a:ln/>
                  </pic:spPr>
                </pic:pic>
              </a:graphicData>
            </a:graphic>
          </wp:anchor>
        </w:drawing>
      </w:r>
    </w:p>
    <w:p w14:paraId="4FF42700" w14:textId="77777777" w:rsidR="00515C53" w:rsidRDefault="00D35891">
      <w:pPr>
        <w:rPr>
          <w:rFonts w:ascii="Arial" w:eastAsia="Arial" w:hAnsi="Arial" w:cs="Arial"/>
          <w:b/>
          <w:sz w:val="24"/>
          <w:szCs w:val="24"/>
        </w:rPr>
      </w:pPr>
      <w:r>
        <w:rPr>
          <w:rFonts w:ascii="Arial" w:eastAsia="Arial" w:hAnsi="Arial" w:cs="Arial"/>
          <w:b/>
          <w:sz w:val="24"/>
          <w:szCs w:val="24"/>
        </w:rPr>
        <w:t>Step 1</w:t>
      </w:r>
      <w:r>
        <w:rPr>
          <w:rFonts w:ascii="Arial" w:eastAsia="Arial" w:hAnsi="Arial" w:cs="Arial"/>
          <w:sz w:val="24"/>
          <w:szCs w:val="24"/>
        </w:rPr>
        <w:t xml:space="preserve">:  </w:t>
      </w:r>
      <w:r>
        <w:rPr>
          <w:rFonts w:ascii="Arial" w:eastAsia="Arial" w:hAnsi="Arial" w:cs="Arial"/>
        </w:rPr>
        <w:t>Remove protective caps and swab the top of each vial with alcohol wipe to reduce the risk of contamination.</w:t>
      </w:r>
      <w:r>
        <w:t xml:space="preserve"> </w:t>
      </w:r>
    </w:p>
    <w:p w14:paraId="6489030A" w14:textId="77777777" w:rsidR="00515C53" w:rsidRDefault="00515C53">
      <w:pPr>
        <w:jc w:val="center"/>
        <w:rPr>
          <w:rFonts w:ascii="Arial" w:eastAsia="Arial" w:hAnsi="Arial" w:cs="Arial"/>
          <w:b/>
          <w:sz w:val="24"/>
          <w:szCs w:val="24"/>
        </w:rPr>
      </w:pPr>
    </w:p>
    <w:p w14:paraId="774680E1" w14:textId="4D056F64" w:rsidR="00515C53" w:rsidRDefault="00D35891">
      <w:pPr>
        <w:rPr>
          <w:rFonts w:ascii="Arial" w:eastAsia="Arial" w:hAnsi="Arial" w:cs="Arial"/>
        </w:rPr>
      </w:pPr>
      <w:r>
        <w:rPr>
          <w:rFonts w:ascii="Arial" w:eastAsia="Arial" w:hAnsi="Arial" w:cs="Arial"/>
          <w:b/>
          <w:sz w:val="24"/>
          <w:szCs w:val="24"/>
        </w:rPr>
        <w:t xml:space="preserve">Step 2:  </w:t>
      </w:r>
      <w:r>
        <w:rPr>
          <w:rFonts w:ascii="Arial" w:eastAsia="Arial" w:hAnsi="Arial" w:cs="Arial"/>
        </w:rPr>
        <w:t>Remove one of the protective caps from the transfer device and insert the piercing pin vertically into the center of the stopper of the Sterile Water for Injection (SWFI) vial, keeping the vial upright</w:t>
      </w:r>
      <w:r w:rsidR="00A27041">
        <w:rPr>
          <w:rFonts w:ascii="Arial" w:eastAsia="Arial" w:hAnsi="Arial" w:cs="Arial"/>
        </w:rPr>
        <w:t xml:space="preserve">. </w:t>
      </w:r>
      <w:r>
        <w:rPr>
          <w:rFonts w:ascii="Arial" w:eastAsia="Arial" w:hAnsi="Arial" w:cs="Arial"/>
        </w:rPr>
        <w:t xml:space="preserve">Holding the </w:t>
      </w:r>
      <w:r>
        <w:rPr>
          <w:rFonts w:ascii="Arial" w:eastAsia="Arial" w:hAnsi="Arial" w:cs="Arial"/>
          <w:u w:val="single"/>
        </w:rPr>
        <w:t>Alteplase vial upside down</w:t>
      </w:r>
      <w:r>
        <w:rPr>
          <w:rFonts w:ascii="Arial" w:eastAsia="Arial" w:hAnsi="Arial" w:cs="Arial"/>
        </w:rPr>
        <w:t>, position it so that the center of the stopper is directly over the exposed pin of the transfer device. Push vial down onto the transfer device, ensuring that the piercing pin is inserted through the center of the Alteplase vial stopper.</w:t>
      </w:r>
      <w:r>
        <w:rPr>
          <w:noProof/>
        </w:rPr>
        <w:drawing>
          <wp:anchor distT="0" distB="0" distL="0" distR="0" simplePos="0" relativeHeight="251660288" behindDoc="0" locked="0" layoutInCell="1" hidden="0" allowOverlap="1" wp14:anchorId="7C07F0B1" wp14:editId="57A9C244">
            <wp:simplePos x="0" y="0"/>
            <wp:positionH relativeFrom="column">
              <wp:posOffset>4286250</wp:posOffset>
            </wp:positionH>
            <wp:positionV relativeFrom="paragraph">
              <wp:posOffset>1223645</wp:posOffset>
            </wp:positionV>
            <wp:extent cx="1943100" cy="1291590"/>
            <wp:effectExtent l="0" t="0" r="0" b="0"/>
            <wp:wrapSquare wrapText="bothSides" distT="0" distB="0" distL="0" distR="0"/>
            <wp:docPr id="8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1943100" cy="129159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68E903C" wp14:editId="464005FE">
            <wp:simplePos x="0" y="0"/>
            <wp:positionH relativeFrom="column">
              <wp:posOffset>-237489</wp:posOffset>
            </wp:positionH>
            <wp:positionV relativeFrom="paragraph">
              <wp:posOffset>1167130</wp:posOffset>
            </wp:positionV>
            <wp:extent cx="2028825" cy="1348105"/>
            <wp:effectExtent l="0" t="0" r="0" b="0"/>
            <wp:wrapSquare wrapText="bothSides" distT="0" distB="0" distL="114300" distR="114300"/>
            <wp:docPr id="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028825" cy="134810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132C3F5" wp14:editId="339449F3">
            <wp:simplePos x="0" y="0"/>
            <wp:positionH relativeFrom="column">
              <wp:posOffset>2065020</wp:posOffset>
            </wp:positionH>
            <wp:positionV relativeFrom="paragraph">
              <wp:posOffset>1200785</wp:posOffset>
            </wp:positionV>
            <wp:extent cx="2116455" cy="1314450"/>
            <wp:effectExtent l="0" t="0" r="0" b="0"/>
            <wp:wrapSquare wrapText="bothSides" distT="0" distB="0" distL="114300" distR="114300"/>
            <wp:docPr id="8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2116455" cy="1314450"/>
                    </a:xfrm>
                    <a:prstGeom prst="rect">
                      <a:avLst/>
                    </a:prstGeom>
                    <a:ln/>
                  </pic:spPr>
                </pic:pic>
              </a:graphicData>
            </a:graphic>
          </wp:anchor>
        </w:drawing>
      </w:r>
    </w:p>
    <w:p w14:paraId="66CB274E" w14:textId="77777777" w:rsidR="00515C53" w:rsidRDefault="00515C53">
      <w:pPr>
        <w:rPr>
          <w:rFonts w:ascii="Arial" w:eastAsia="Arial" w:hAnsi="Arial" w:cs="Arial"/>
          <w:b/>
          <w:sz w:val="24"/>
          <w:szCs w:val="24"/>
        </w:rPr>
      </w:pPr>
    </w:p>
    <w:p w14:paraId="1AAFC703" w14:textId="78E6134F" w:rsidR="00515C53" w:rsidRDefault="00D35891">
      <w:pPr>
        <w:rPr>
          <w:rFonts w:ascii="Arial" w:eastAsia="Arial" w:hAnsi="Arial" w:cs="Arial"/>
        </w:rPr>
      </w:pPr>
      <w:r>
        <w:rPr>
          <w:rFonts w:ascii="Arial" w:eastAsia="Arial" w:hAnsi="Arial" w:cs="Arial"/>
          <w:b/>
          <w:sz w:val="24"/>
          <w:szCs w:val="24"/>
        </w:rPr>
        <w:lastRenderedPageBreak/>
        <w:t xml:space="preserve">Step 3:  </w:t>
      </w:r>
      <w:r>
        <w:rPr>
          <w:rFonts w:ascii="Arial" w:eastAsia="Arial" w:hAnsi="Arial" w:cs="Arial"/>
        </w:rPr>
        <w:t xml:space="preserve">Invert the 2 vials, so that the vial of Alteplase is on the bottom (upright) and the vial of SWFI is upside down. Allow the entire contents of the vial of SWFI to flow down through the transfer device into the vial containing Alteplase. Approximately 0.5 mL of SWFI will remain in the diluent vial. Remove the transfer device and the empty SWFI vial from the Alteplase vial. Safely discard both the transfer device and the empty diluent vial. </w:t>
      </w:r>
      <w:r>
        <w:rPr>
          <w:noProof/>
        </w:rPr>
        <w:drawing>
          <wp:anchor distT="0" distB="0" distL="114300" distR="114300" simplePos="0" relativeHeight="251663360" behindDoc="0" locked="0" layoutInCell="1" hidden="0" allowOverlap="1" wp14:anchorId="5AE5AEBE" wp14:editId="386D8318">
            <wp:simplePos x="0" y="0"/>
            <wp:positionH relativeFrom="column">
              <wp:posOffset>2571750</wp:posOffset>
            </wp:positionH>
            <wp:positionV relativeFrom="paragraph">
              <wp:posOffset>7620</wp:posOffset>
            </wp:positionV>
            <wp:extent cx="1861820" cy="1228725"/>
            <wp:effectExtent l="0" t="0" r="0" b="0"/>
            <wp:wrapSquare wrapText="bothSides" distT="0" distB="0" distL="114300" distR="114300"/>
            <wp:docPr id="7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861820" cy="122872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5C4B01EA" wp14:editId="449551D0">
            <wp:simplePos x="0" y="0"/>
            <wp:positionH relativeFrom="column">
              <wp:posOffset>4616450</wp:posOffset>
            </wp:positionH>
            <wp:positionV relativeFrom="paragraph">
              <wp:posOffset>7620</wp:posOffset>
            </wp:positionV>
            <wp:extent cx="1635125" cy="1228725"/>
            <wp:effectExtent l="0" t="0" r="0" b="0"/>
            <wp:wrapSquare wrapText="bothSides" distT="0" distB="0" distL="114300" distR="114300"/>
            <wp:docPr id="7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635125" cy="1228725"/>
                    </a:xfrm>
                    <a:prstGeom prst="rect">
                      <a:avLst/>
                    </a:prstGeom>
                    <a:ln/>
                  </pic:spPr>
                </pic:pic>
              </a:graphicData>
            </a:graphic>
          </wp:anchor>
        </w:drawing>
      </w:r>
    </w:p>
    <w:p w14:paraId="6472723D" w14:textId="77777777" w:rsidR="00515C53" w:rsidRDefault="00515C53">
      <w:pPr>
        <w:rPr>
          <w:rFonts w:ascii="Arial" w:eastAsia="Arial" w:hAnsi="Arial" w:cs="Arial"/>
        </w:rPr>
      </w:pPr>
    </w:p>
    <w:p w14:paraId="15957830" w14:textId="7B01389F" w:rsidR="00515C53" w:rsidRDefault="00D35891">
      <w:pPr>
        <w:spacing w:after="0"/>
      </w:pPr>
      <w:r>
        <w:rPr>
          <w:rFonts w:ascii="Arial" w:eastAsia="Arial" w:hAnsi="Arial" w:cs="Arial"/>
          <w:b/>
          <w:sz w:val="24"/>
          <w:szCs w:val="24"/>
        </w:rPr>
        <w:t xml:space="preserve">Step 4:  </w:t>
      </w:r>
      <w:r>
        <w:rPr>
          <w:rFonts w:ascii="Arial" w:eastAsia="Arial" w:hAnsi="Arial" w:cs="Arial"/>
        </w:rPr>
        <w:t>Mix the solution with a gentle swirl. DO NOT SHAKE. Slight foaming of the solution is normal. Let the solution stand undisturbed for several minutes to allow any large bubbles to dissipate. This preparation will result in a colorless to pale yellow transparent solution containing Alteplase at a concentration of 1mg/mL.  Visually inspect Alteplase solution for particulate matter and discoloration before administration. May be used within 8 hours of reconstitution when stored between 2-8°C.</w:t>
      </w:r>
      <w:r>
        <w:t xml:space="preserve"> </w:t>
      </w:r>
    </w:p>
    <w:p w14:paraId="22307DBD" w14:textId="77777777" w:rsidR="00515C53" w:rsidRDefault="00515C53">
      <w:pPr>
        <w:spacing w:after="0"/>
      </w:pPr>
    </w:p>
    <w:p w14:paraId="39548D42" w14:textId="77777777" w:rsidR="00515C53" w:rsidRDefault="00D35891">
      <w:pPr>
        <w:spacing w:after="0"/>
      </w:pPr>
      <w:r>
        <w:rPr>
          <w:noProof/>
        </w:rPr>
        <w:drawing>
          <wp:anchor distT="0" distB="0" distL="0" distR="0" simplePos="0" relativeHeight="251665408" behindDoc="0" locked="0" layoutInCell="1" hidden="0" allowOverlap="1" wp14:anchorId="2F70704E" wp14:editId="07912EB7">
            <wp:simplePos x="0" y="0"/>
            <wp:positionH relativeFrom="column">
              <wp:posOffset>4448175</wp:posOffset>
            </wp:positionH>
            <wp:positionV relativeFrom="paragraph">
              <wp:posOffset>332105</wp:posOffset>
            </wp:positionV>
            <wp:extent cx="1647825" cy="1146175"/>
            <wp:effectExtent l="0" t="0" r="0" b="0"/>
            <wp:wrapSquare wrapText="bothSides" distT="0" distB="0" distL="0" distR="0"/>
            <wp:docPr id="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647825" cy="1146175"/>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7B9D5CE" wp14:editId="5F4C29EF">
            <wp:simplePos x="0" y="0"/>
            <wp:positionH relativeFrom="column">
              <wp:posOffset>-38099</wp:posOffset>
            </wp:positionH>
            <wp:positionV relativeFrom="paragraph">
              <wp:posOffset>322580</wp:posOffset>
            </wp:positionV>
            <wp:extent cx="2181225" cy="1199515"/>
            <wp:effectExtent l="0" t="0" r="0" b="0"/>
            <wp:wrapSquare wrapText="bothSides" distT="0" distB="0" distL="114300" distR="114300"/>
            <wp:docPr id="8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2181225" cy="1199515"/>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07F19776" wp14:editId="5A4C30FA">
            <wp:simplePos x="0" y="0"/>
            <wp:positionH relativeFrom="column">
              <wp:posOffset>2361565</wp:posOffset>
            </wp:positionH>
            <wp:positionV relativeFrom="paragraph">
              <wp:posOffset>313055</wp:posOffset>
            </wp:positionV>
            <wp:extent cx="1838325" cy="1189355"/>
            <wp:effectExtent l="0" t="0" r="0" b="0"/>
            <wp:wrapSquare wrapText="bothSides" distT="0" distB="0" distL="114300" distR="114300"/>
            <wp:docPr id="8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r="14727"/>
                    <a:stretch>
                      <a:fillRect/>
                    </a:stretch>
                  </pic:blipFill>
                  <pic:spPr>
                    <a:xfrm>
                      <a:off x="0" y="0"/>
                      <a:ext cx="1838325" cy="1189355"/>
                    </a:xfrm>
                    <a:prstGeom prst="rect">
                      <a:avLst/>
                    </a:prstGeom>
                    <a:ln/>
                  </pic:spPr>
                </pic:pic>
              </a:graphicData>
            </a:graphic>
          </wp:anchor>
        </w:drawing>
      </w:r>
    </w:p>
    <w:p w14:paraId="7BBBEF65" w14:textId="77777777" w:rsidR="00515C53" w:rsidRDefault="00515C53">
      <w:pPr>
        <w:jc w:val="right"/>
        <w:rPr>
          <w:rFonts w:ascii="Arial" w:eastAsia="Arial" w:hAnsi="Arial" w:cs="Arial"/>
          <w:color w:val="C0504D"/>
          <w:sz w:val="24"/>
          <w:szCs w:val="24"/>
        </w:rPr>
      </w:pPr>
    </w:p>
    <w:p w14:paraId="73DBEE66" w14:textId="77777777" w:rsidR="00515C53" w:rsidRDefault="00515C53">
      <w:pPr>
        <w:rPr>
          <w:rFonts w:ascii="Arial" w:eastAsia="Arial" w:hAnsi="Arial" w:cs="Arial"/>
          <w:sz w:val="24"/>
          <w:szCs w:val="24"/>
        </w:rPr>
      </w:pPr>
    </w:p>
    <w:p w14:paraId="5755B0DF" w14:textId="77777777" w:rsidR="00515C53" w:rsidRDefault="00515C53">
      <w:pPr>
        <w:rPr>
          <w:rFonts w:ascii="Arial" w:eastAsia="Arial" w:hAnsi="Arial" w:cs="Arial"/>
          <w:sz w:val="24"/>
          <w:szCs w:val="24"/>
        </w:rPr>
      </w:pPr>
    </w:p>
    <w:p w14:paraId="0D6F318F" w14:textId="77777777" w:rsidR="00515C53" w:rsidRDefault="00515C53">
      <w:pPr>
        <w:rPr>
          <w:rFonts w:ascii="Arial" w:eastAsia="Arial" w:hAnsi="Arial" w:cs="Arial"/>
          <w:sz w:val="24"/>
          <w:szCs w:val="24"/>
        </w:rPr>
      </w:pPr>
    </w:p>
    <w:p w14:paraId="7DCCE68E" w14:textId="77777777" w:rsidR="00515C53" w:rsidRDefault="00515C53">
      <w:pPr>
        <w:rPr>
          <w:rFonts w:ascii="Arial" w:eastAsia="Arial" w:hAnsi="Arial" w:cs="Arial"/>
          <w:sz w:val="24"/>
          <w:szCs w:val="24"/>
        </w:rPr>
      </w:pPr>
    </w:p>
    <w:p w14:paraId="38B5CAD9" w14:textId="77777777" w:rsidR="00515C53" w:rsidRDefault="00515C53">
      <w:pPr>
        <w:rPr>
          <w:rFonts w:ascii="Arial" w:eastAsia="Arial" w:hAnsi="Arial" w:cs="Arial"/>
          <w:sz w:val="24"/>
          <w:szCs w:val="24"/>
        </w:rPr>
      </w:pPr>
    </w:p>
    <w:p w14:paraId="3133CB03" w14:textId="77777777" w:rsidR="00515C53" w:rsidRDefault="00515C53">
      <w:pPr>
        <w:rPr>
          <w:rFonts w:ascii="Arial" w:eastAsia="Arial" w:hAnsi="Arial" w:cs="Arial"/>
          <w:sz w:val="24"/>
          <w:szCs w:val="24"/>
        </w:rPr>
      </w:pPr>
      <w:bookmarkStart w:id="3" w:name="_heading=h.30j0zll" w:colFirst="0" w:colLast="0"/>
      <w:bookmarkEnd w:id="3"/>
    </w:p>
    <w:p w14:paraId="2B000650" w14:textId="77777777" w:rsidR="00515C53" w:rsidRDefault="00515C53">
      <w:pPr>
        <w:rPr>
          <w:rFonts w:ascii="Arial" w:eastAsia="Arial" w:hAnsi="Arial" w:cs="Arial"/>
          <w:sz w:val="24"/>
          <w:szCs w:val="24"/>
        </w:rPr>
      </w:pPr>
    </w:p>
    <w:p w14:paraId="3AFEE4D5" w14:textId="77777777" w:rsidR="00515C53" w:rsidRDefault="00515C53">
      <w:pPr>
        <w:jc w:val="center"/>
        <w:rPr>
          <w:rFonts w:ascii="Arial" w:eastAsia="Arial" w:hAnsi="Arial" w:cs="Arial"/>
          <w:color w:val="C0504D"/>
          <w:sz w:val="24"/>
          <w:szCs w:val="24"/>
        </w:rPr>
      </w:pPr>
    </w:p>
    <w:p w14:paraId="5F9D9AF1" w14:textId="608327D5" w:rsidR="00515C53" w:rsidRDefault="00D35891">
      <w:pPr>
        <w:jc w:val="center"/>
        <w:rPr>
          <w:rFonts w:ascii="Arial" w:eastAsia="Arial" w:hAnsi="Arial" w:cs="Arial"/>
          <w:b/>
          <w:color w:val="C0504D"/>
          <w:sz w:val="24"/>
          <w:szCs w:val="24"/>
        </w:rPr>
      </w:pPr>
      <w:r>
        <w:rPr>
          <w:rFonts w:ascii="Arial" w:eastAsia="Arial" w:hAnsi="Arial" w:cs="Arial"/>
          <w:b/>
          <w:color w:val="C0504D"/>
          <w:sz w:val="24"/>
          <w:szCs w:val="24"/>
        </w:rPr>
        <w:t>*Genentech will provide credit/replacement for mixed and unused or expired Alteplase</w:t>
      </w:r>
      <w:r w:rsidR="00A27041">
        <w:rPr>
          <w:rFonts w:ascii="Arial" w:eastAsia="Arial" w:hAnsi="Arial" w:cs="Arial"/>
          <w:b/>
          <w:color w:val="C0504D"/>
          <w:sz w:val="24"/>
          <w:szCs w:val="24"/>
        </w:rPr>
        <w:t xml:space="preserve">. </w:t>
      </w:r>
      <w:r>
        <w:rPr>
          <w:rFonts w:ascii="Arial" w:eastAsia="Arial" w:hAnsi="Arial" w:cs="Arial"/>
          <w:b/>
          <w:color w:val="C0504D"/>
          <w:sz w:val="24"/>
          <w:szCs w:val="24"/>
        </w:rPr>
        <w:t>Contact Genentech Customer Service @ (800) 551-2231</w:t>
      </w:r>
    </w:p>
    <w:sectPr w:rsidR="00515C53">
      <w:headerReference w:type="default" r:id="rId18"/>
      <w:footerReference w:type="default" r:id="rId19"/>
      <w:headerReference w:type="first" r:id="rId20"/>
      <w:footerReference w:type="first" r:id="rId21"/>
      <w:pgSz w:w="12240" w:h="15840"/>
      <w:pgMar w:top="1080" w:right="1440" w:bottom="360" w:left="1440" w:header="720" w:footer="6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1FC8" w14:textId="77777777" w:rsidR="00FA6BAF" w:rsidRDefault="00D35891">
      <w:pPr>
        <w:spacing w:after="0" w:line="240" w:lineRule="auto"/>
      </w:pPr>
      <w:r>
        <w:separator/>
      </w:r>
    </w:p>
  </w:endnote>
  <w:endnote w:type="continuationSeparator" w:id="0">
    <w:p w14:paraId="2F513984" w14:textId="77777777" w:rsidR="00FA6BAF" w:rsidRDefault="00D3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BCB9" w14:textId="77777777" w:rsidR="00515C53" w:rsidRDefault="00D35891">
    <w:pPr>
      <w:pBdr>
        <w:top w:val="nil"/>
        <w:left w:val="nil"/>
        <w:bottom w:val="nil"/>
        <w:right w:val="nil"/>
        <w:between w:val="nil"/>
      </w:pBdr>
      <w:tabs>
        <w:tab w:val="center" w:pos="4680"/>
        <w:tab w:val="right" w:pos="9360"/>
        <w:tab w:val="left" w:pos="5040"/>
        <w:tab w:val="left" w:pos="5760"/>
        <w:tab w:val="left" w:pos="6480"/>
        <w:tab w:val="left" w:pos="7200"/>
      </w:tabs>
      <w:spacing w:after="0" w:line="240" w:lineRule="auto"/>
      <w:jc w:val="right"/>
      <w:rPr>
        <w:color w:val="000000"/>
      </w:rPr>
    </w:pPr>
    <w:r>
      <w:rPr>
        <w:color w:val="000000"/>
        <w:sz w:val="18"/>
        <w:szCs w:val="18"/>
      </w:rPr>
      <w:t>Reviewed 11/21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0FCF" w14:textId="77777777" w:rsidR="00515C53" w:rsidRDefault="00D35891">
    <w:pPr>
      <w:pBdr>
        <w:top w:val="nil"/>
        <w:left w:val="nil"/>
        <w:bottom w:val="nil"/>
        <w:right w:val="nil"/>
        <w:between w:val="nil"/>
      </w:pBdr>
      <w:tabs>
        <w:tab w:val="center" w:pos="4680"/>
        <w:tab w:val="right" w:pos="9360"/>
        <w:tab w:val="left" w:pos="5040"/>
        <w:tab w:val="left" w:pos="5760"/>
        <w:tab w:val="left" w:pos="6480"/>
        <w:tab w:val="left" w:pos="7200"/>
      </w:tabs>
      <w:spacing w:after="0" w:line="240" w:lineRule="auto"/>
      <w:jc w:val="right"/>
      <w:rPr>
        <w:rFonts w:ascii="Arial" w:eastAsia="Arial" w:hAnsi="Arial" w:cs="Arial"/>
        <w:b/>
        <w:color w:val="902832"/>
      </w:rPr>
    </w:pPr>
    <w:r>
      <w:rPr>
        <w:rFonts w:ascii="Arial" w:eastAsia="Arial" w:hAnsi="Arial" w:cs="Arial"/>
        <w:b/>
        <w:color w:val="902832"/>
      </w:rPr>
      <w:tab/>
      <w:t xml:space="preserve">    </w:t>
    </w:r>
    <w:r>
      <w:rPr>
        <w:color w:val="000000"/>
        <w:sz w:val="18"/>
        <w:szCs w:val="18"/>
      </w:rPr>
      <w:t>Reviewed 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DFFB" w14:textId="77777777" w:rsidR="00FA6BAF" w:rsidRDefault="00D35891">
      <w:pPr>
        <w:spacing w:after="0" w:line="240" w:lineRule="auto"/>
      </w:pPr>
      <w:r>
        <w:separator/>
      </w:r>
    </w:p>
  </w:footnote>
  <w:footnote w:type="continuationSeparator" w:id="0">
    <w:p w14:paraId="38EF7CDD" w14:textId="77777777" w:rsidR="00FA6BAF" w:rsidRDefault="00D35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011B" w14:textId="77777777" w:rsidR="00515C53" w:rsidRDefault="00D35891">
    <w:pPr>
      <w:pBdr>
        <w:top w:val="nil"/>
        <w:left w:val="nil"/>
        <w:bottom w:val="nil"/>
        <w:right w:val="nil"/>
        <w:between w:val="nil"/>
      </w:pBdr>
      <w:tabs>
        <w:tab w:val="center" w:pos="4680"/>
        <w:tab w:val="right" w:pos="9360"/>
        <w:tab w:val="left" w:pos="7920"/>
      </w:tabs>
      <w:spacing w:after="0" w:line="240" w:lineRule="auto"/>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0D0C5FA5" wp14:editId="2EBDFBCF">
          <wp:simplePos x="0" y="0"/>
          <wp:positionH relativeFrom="column">
            <wp:posOffset>4733925</wp:posOffset>
          </wp:positionH>
          <wp:positionV relativeFrom="paragraph">
            <wp:posOffset>-248919</wp:posOffset>
          </wp:positionV>
          <wp:extent cx="1624330" cy="466725"/>
          <wp:effectExtent l="0" t="0" r="0" b="0"/>
          <wp:wrapSquare wrapText="bothSides" distT="0" distB="0" distL="114300" distR="114300"/>
          <wp:docPr id="82" name="image1.jpg" descr="C:\Documents and Settings\cs8282\Local Settings\Temp\Temporary Directory 3 for MSI_logo_FINAL_OK_Blue.zip\MSI_logo_FINAL_OKblue.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cs8282\Local Settings\Temp\Temporary Directory 3 for MSI_logo_FINAL_OK_Blue.zip\MSI_logo_FINAL_OKblue.jpg"/>
                  <pic:cNvPicPr preferRelativeResize="0"/>
                </pic:nvPicPr>
                <pic:blipFill>
                  <a:blip r:embed="rId1"/>
                  <a:srcRect/>
                  <a:stretch>
                    <a:fillRect/>
                  </a:stretch>
                </pic:blipFill>
                <pic:spPr>
                  <a:xfrm>
                    <a:off x="0" y="0"/>
                    <a:ext cx="1624330" cy="4667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4CF2" w14:textId="77777777" w:rsidR="00515C53" w:rsidRDefault="00D35891">
    <w:pPr>
      <w:pBdr>
        <w:top w:val="nil"/>
        <w:left w:val="nil"/>
        <w:bottom w:val="nil"/>
        <w:right w:val="nil"/>
        <w:between w:val="nil"/>
      </w:pBdr>
      <w:tabs>
        <w:tab w:val="center" w:pos="4680"/>
        <w:tab w:val="right" w:pos="9360"/>
      </w:tabs>
      <w:spacing w:after="0" w:line="240" w:lineRule="auto"/>
      <w:jc w:val="center"/>
      <w:rPr>
        <w:color w:val="000000"/>
      </w:rPr>
    </w:pPr>
    <w:r>
      <w:rPr>
        <w:noProof/>
      </w:rPr>
      <w:drawing>
        <wp:anchor distT="0" distB="0" distL="114300" distR="114300" simplePos="0" relativeHeight="251659264" behindDoc="0" locked="0" layoutInCell="1" hidden="0" allowOverlap="1" wp14:anchorId="4971F6E3" wp14:editId="34192F44">
          <wp:simplePos x="0" y="0"/>
          <wp:positionH relativeFrom="column">
            <wp:posOffset>4819650</wp:posOffset>
          </wp:positionH>
          <wp:positionV relativeFrom="paragraph">
            <wp:posOffset>-247649</wp:posOffset>
          </wp:positionV>
          <wp:extent cx="1624330" cy="466725"/>
          <wp:effectExtent l="0" t="0" r="0" b="0"/>
          <wp:wrapSquare wrapText="bothSides" distT="0" distB="0" distL="114300" distR="114300"/>
          <wp:docPr id="84" name="image1.jpg" descr="C:\Documents and Settings\cs8282\Local Settings\Temp\Temporary Directory 3 for MSI_logo_FINAL_OK_Blue.zip\MSI_logo_FINAL_OKblue.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cs8282\Local Settings\Temp\Temporary Directory 3 for MSI_logo_FINAL_OK_Blue.zip\MSI_logo_FINAL_OKblue.jpg"/>
                  <pic:cNvPicPr preferRelativeResize="0"/>
                </pic:nvPicPr>
                <pic:blipFill>
                  <a:blip r:embed="rId1"/>
                  <a:srcRect/>
                  <a:stretch>
                    <a:fillRect/>
                  </a:stretch>
                </pic:blipFill>
                <pic:spPr>
                  <a:xfrm>
                    <a:off x="0" y="0"/>
                    <a:ext cx="1624330" cy="466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7419"/>
    <w:multiLevelType w:val="multilevel"/>
    <w:tmpl w:val="6C1AB2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4D53665"/>
    <w:multiLevelType w:val="multilevel"/>
    <w:tmpl w:val="E780DFFC"/>
    <w:lvl w:ilvl="0">
      <w:start w:val="1"/>
      <w:numFmt w:val="bullet"/>
      <w:lvlText w:val="◻"/>
      <w:lvlJc w:val="left"/>
      <w:pPr>
        <w:ind w:left="720" w:hanging="360"/>
      </w:pPr>
      <w:rPr>
        <w:rFonts w:ascii="Noto Sans Symbols" w:eastAsia="Noto Sans Symbols" w:hAnsi="Noto Sans Symbols" w:cs="Noto Sans Symbols"/>
        <w:b/>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0837FD"/>
    <w:multiLevelType w:val="multilevel"/>
    <w:tmpl w:val="2E9A19E8"/>
    <w:lvl w:ilvl="0">
      <w:start w:val="1"/>
      <w:numFmt w:val="bullet"/>
      <w:lvlText w:val="◻"/>
      <w:lvlJc w:val="left"/>
      <w:pPr>
        <w:ind w:left="2160" w:hanging="360"/>
      </w:pPr>
      <w:rPr>
        <w:rFonts w:ascii="Noto Sans Symbols" w:eastAsia="Noto Sans Symbols" w:hAnsi="Noto Sans Symbols" w:cs="Noto Sans Symbols"/>
        <w:b/>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16cid:durableId="1236936292">
    <w:abstractNumId w:val="2"/>
  </w:num>
  <w:num w:numId="2" w16cid:durableId="9527003">
    <w:abstractNumId w:val="0"/>
  </w:num>
  <w:num w:numId="3" w16cid:durableId="248655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53"/>
    <w:rsid w:val="004C3A2D"/>
    <w:rsid w:val="00515C53"/>
    <w:rsid w:val="005F1CDE"/>
    <w:rsid w:val="007F6FDB"/>
    <w:rsid w:val="00A27041"/>
    <w:rsid w:val="00B0422C"/>
    <w:rsid w:val="00D35891"/>
    <w:rsid w:val="00F75FCC"/>
    <w:rsid w:val="00FA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8323"/>
  <w15:docId w15:val="{5F08470F-0B4A-41BA-8321-4B5E6813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F5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576"/>
  </w:style>
  <w:style w:type="paragraph" w:styleId="Footer">
    <w:name w:val="footer"/>
    <w:basedOn w:val="Normal"/>
    <w:link w:val="FooterChar"/>
    <w:uiPriority w:val="99"/>
    <w:unhideWhenUsed/>
    <w:rsid w:val="000F5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576"/>
  </w:style>
  <w:style w:type="paragraph" w:styleId="BalloonText">
    <w:name w:val="Balloon Text"/>
    <w:basedOn w:val="Normal"/>
    <w:link w:val="BalloonTextChar"/>
    <w:uiPriority w:val="99"/>
    <w:semiHidden/>
    <w:unhideWhenUsed/>
    <w:rsid w:val="000F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76"/>
    <w:rPr>
      <w:rFonts w:ascii="Tahoma" w:hAnsi="Tahoma" w:cs="Tahoma"/>
      <w:sz w:val="16"/>
      <w:szCs w:val="16"/>
    </w:rPr>
  </w:style>
  <w:style w:type="paragraph" w:styleId="ListParagraph">
    <w:name w:val="List Paragraph"/>
    <w:basedOn w:val="Normal"/>
    <w:uiPriority w:val="34"/>
    <w:qFormat/>
    <w:rsid w:val="00F3022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yExrGtAtbwri4E7Ze0LG5GOHhg==">AMUW2mWKBpFkaVh7ksxN7UpAb4Mf1j5mEk7b90dGG39yYZjZ4fDS0LTowgrXndtMF9s3HqcrQhZFUsidjzdMfIS6mqUq1xT6enwfMuEUUyZoqr5ep4p3FDcOK3m2mb26+rTN/GGhcKe7jqSIgNBn1h438AoIB2q+vasVm3esxp+JUeV2rlq5+hs=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Walker</dc:creator>
  <cp:lastModifiedBy>Joani Guzman</cp:lastModifiedBy>
  <cp:revision>2</cp:revision>
  <dcterms:created xsi:type="dcterms:W3CDTF">2022-05-03T22:01:00Z</dcterms:created>
  <dcterms:modified xsi:type="dcterms:W3CDTF">2022-05-03T22:01:00Z</dcterms:modified>
</cp:coreProperties>
</file>